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36" w:rsidRDefault="00164436">
      <w:pPr>
        <w:rPr>
          <w:rFonts w:ascii="Times New Roman" w:eastAsia="Times New Roman" w:hAnsi="Times New Roman" w:cs="Times New Roman"/>
          <w:i/>
          <w:sz w:val="26"/>
          <w:szCs w:val="26"/>
        </w:rPr>
      </w:pPr>
      <w:bookmarkStart w:id="0" w:name="_GoBack"/>
      <w:bookmarkEnd w:id="0"/>
    </w:p>
    <w:p w:rsidR="00164436" w:rsidRDefault="00772A48">
      <w:pPr>
        <w:jc w:val="center"/>
        <w:rPr>
          <w:rFonts w:ascii="Times New Roman" w:eastAsia="Times New Roman" w:hAnsi="Times New Roman" w:cs="Times New Roman"/>
          <w:b/>
          <w:sz w:val="26"/>
          <w:szCs w:val="26"/>
        </w:rPr>
      </w:pPr>
      <w:r>
        <w:rPr>
          <w:rFonts w:ascii="Times New Roman" w:eastAsia="Times New Roman" w:hAnsi="Times New Roman" w:cs="Times New Roman"/>
          <w:b/>
          <w:noProof/>
          <w:sz w:val="26"/>
          <w:szCs w:val="26"/>
        </w:rPr>
        <w:drawing>
          <wp:inline distT="0" distB="0" distL="0" distR="0">
            <wp:extent cx="1038225" cy="9048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80" r="-2180"/>
                    <a:stretch>
                      <a:fillRect/>
                    </a:stretch>
                  </pic:blipFill>
                  <pic:spPr>
                    <a:xfrm>
                      <a:off x="0" y="0"/>
                      <a:ext cx="1038225" cy="904875"/>
                    </a:xfrm>
                    <a:prstGeom prst="rect">
                      <a:avLst/>
                    </a:prstGeom>
                    <a:ln/>
                  </pic:spPr>
                </pic:pic>
              </a:graphicData>
            </a:graphic>
          </wp:inline>
        </w:drawing>
      </w:r>
    </w:p>
    <w:p w:rsidR="00164436" w:rsidRDefault="00772A4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REPUBLIC OF KENYA</w:t>
      </w:r>
    </w:p>
    <w:p w:rsidR="00164436" w:rsidRDefault="00164436">
      <w:pPr>
        <w:spacing w:after="0" w:line="240" w:lineRule="auto"/>
        <w:jc w:val="center"/>
        <w:rPr>
          <w:rFonts w:ascii="Times New Roman" w:eastAsia="Times New Roman" w:hAnsi="Times New Roman" w:cs="Times New Roman"/>
          <w:b/>
          <w:sz w:val="16"/>
          <w:szCs w:val="16"/>
        </w:rPr>
      </w:pPr>
    </w:p>
    <w:p w:rsidR="00164436" w:rsidRDefault="00772A4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MINISTRY OF EDUCATION</w:t>
      </w:r>
    </w:p>
    <w:p w:rsidR="00164436" w:rsidRDefault="00164436">
      <w:pPr>
        <w:spacing w:after="0" w:line="240" w:lineRule="auto"/>
        <w:jc w:val="center"/>
        <w:rPr>
          <w:rFonts w:ascii="Times New Roman" w:eastAsia="Times New Roman" w:hAnsi="Times New Roman" w:cs="Times New Roman"/>
          <w:b/>
          <w:sz w:val="26"/>
          <w:szCs w:val="26"/>
        </w:rPr>
      </w:pPr>
    </w:p>
    <w:p w:rsidR="00164436" w:rsidRDefault="00772A4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ANNOUNCEMENT</w:t>
      </w:r>
    </w:p>
    <w:p w:rsidR="00164436" w:rsidRDefault="00164436">
      <w:pPr>
        <w:spacing w:after="0" w:line="240" w:lineRule="auto"/>
        <w:jc w:val="center"/>
        <w:rPr>
          <w:rFonts w:ascii="Times New Roman" w:eastAsia="Times New Roman" w:hAnsi="Times New Roman" w:cs="Times New Roman"/>
          <w:b/>
          <w:sz w:val="16"/>
          <w:szCs w:val="16"/>
        </w:rPr>
      </w:pPr>
    </w:p>
    <w:p w:rsidR="00164436" w:rsidRDefault="00772A48">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INDIAN GOVERNMENT SCHOLARSHIPS - 2021-2022 ACADEMIC YEAR </w:t>
      </w:r>
    </w:p>
    <w:p w:rsidR="00164436" w:rsidRDefault="00164436">
      <w:pPr>
        <w:spacing w:after="0" w:line="240" w:lineRule="auto"/>
        <w:jc w:val="both"/>
        <w:rPr>
          <w:rFonts w:ascii="Times New Roman" w:eastAsia="Times New Roman" w:hAnsi="Times New Roman" w:cs="Times New Roman"/>
          <w:color w:val="222222"/>
          <w:sz w:val="26"/>
          <w:szCs w:val="26"/>
        </w:rPr>
      </w:pPr>
    </w:p>
    <w:p w:rsidR="00164436" w:rsidRDefault="00772A48">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The Government of India through Indian Council for Cultural Relations (ICCR) has offered fifty (50) Scholarships for meritorious students from Kenya to pursue undergraduate, postgraduate and PhD Courses in India’s premier Universities/Institutes under the Africa Scholarship Scheme (ASS) for the academic year 2021-22.</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  Application Procedure</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numPr>
          <w:ilvl w:val="0"/>
          <w:numId w:val="1"/>
        </w:numPr>
        <w:pBdr>
          <w:top w:val="nil"/>
          <w:left w:val="nil"/>
          <w:bottom w:val="nil"/>
          <w:right w:val="nil"/>
          <w:between w:val="nil"/>
        </w:pBdr>
        <w:spacing w:after="0" w:line="240" w:lineRule="auto"/>
        <w:jc w:val="both"/>
        <w:rPr>
          <w:color w:val="000000"/>
          <w:sz w:val="26"/>
          <w:szCs w:val="26"/>
        </w:rPr>
      </w:pPr>
      <w:r>
        <w:rPr>
          <w:rFonts w:ascii="Times New Roman" w:eastAsia="Times New Roman" w:hAnsi="Times New Roman" w:cs="Times New Roman"/>
          <w:color w:val="000000"/>
          <w:sz w:val="26"/>
          <w:szCs w:val="26"/>
        </w:rPr>
        <w:t xml:space="preserve">Applicants will be required to directly apply on the A2A portal at </w:t>
      </w:r>
      <w:hyperlink r:id="rId6">
        <w:r>
          <w:rPr>
            <w:rFonts w:ascii="Times New Roman" w:eastAsia="Times New Roman" w:hAnsi="Times New Roman" w:cs="Times New Roman"/>
            <w:b/>
            <w:color w:val="0000FF"/>
            <w:sz w:val="26"/>
            <w:szCs w:val="26"/>
            <w:u w:val="single"/>
          </w:rPr>
          <w:t>www.a2ascholarships.iccr.gov.in</w:t>
        </w:r>
      </w:hyperlink>
      <w:r>
        <w:rPr>
          <w:rFonts w:ascii="Times New Roman" w:eastAsia="Times New Roman" w:hAnsi="Times New Roman" w:cs="Times New Roman"/>
          <w:b/>
          <w:color w:val="000000"/>
          <w:sz w:val="26"/>
          <w:szCs w:val="26"/>
        </w:rPr>
        <w:t>.</w:t>
      </w:r>
      <w:r>
        <w:rPr>
          <w:rFonts w:ascii="Times New Roman" w:eastAsia="Times New Roman" w:hAnsi="Times New Roman" w:cs="Times New Roman"/>
          <w:color w:val="000000"/>
          <w:sz w:val="26"/>
          <w:szCs w:val="26"/>
        </w:rPr>
        <w:t xml:space="preserve"> </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numPr>
          <w:ilvl w:val="0"/>
          <w:numId w:val="1"/>
        </w:numPr>
        <w:pBdr>
          <w:top w:val="nil"/>
          <w:left w:val="nil"/>
          <w:bottom w:val="nil"/>
          <w:right w:val="nil"/>
          <w:between w:val="nil"/>
        </w:pBdr>
        <w:spacing w:after="0" w:line="240" w:lineRule="auto"/>
        <w:ind w:left="714" w:hanging="357"/>
        <w:jc w:val="both"/>
        <w:rPr>
          <w:color w:val="000000"/>
          <w:sz w:val="26"/>
          <w:szCs w:val="26"/>
        </w:rPr>
      </w:pPr>
      <w:r>
        <w:rPr>
          <w:rFonts w:ascii="Times New Roman" w:eastAsia="Times New Roman" w:hAnsi="Times New Roman" w:cs="Times New Roman"/>
          <w:color w:val="000000"/>
          <w:sz w:val="26"/>
          <w:szCs w:val="26"/>
        </w:rPr>
        <w:t xml:space="preserve">Applicants have an option of applying for a course in five different Universities/Institutes in order of preference.  A list of universities can be accessed on website </w:t>
      </w:r>
      <w:hyperlink r:id="rId7">
        <w:r>
          <w:rPr>
            <w:rFonts w:ascii="Times New Roman" w:eastAsia="Times New Roman" w:hAnsi="Times New Roman" w:cs="Times New Roman"/>
            <w:color w:val="0000FF"/>
            <w:sz w:val="26"/>
            <w:szCs w:val="26"/>
            <w:u w:val="single"/>
          </w:rPr>
          <w:t>www.ugc.ac.in</w:t>
        </w:r>
      </w:hyperlink>
      <w:r>
        <w:rPr>
          <w:rFonts w:ascii="Times New Roman" w:eastAsia="Times New Roman" w:hAnsi="Times New Roman" w:cs="Times New Roman"/>
          <w:color w:val="000000"/>
          <w:sz w:val="26"/>
          <w:szCs w:val="26"/>
        </w:rPr>
        <w:t>.</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NB:</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Students should be ready to receive admission offer from any of the five preferences.</w:t>
      </w:r>
    </w:p>
    <w:p w:rsidR="00164436" w:rsidRDefault="0016443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p>
    <w:p w:rsidR="00164436" w:rsidRDefault="00772A4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Students should do background checks to ensure they submit correct admission requirements.</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ICCR does not arrange for admission in Medical/Paramedical, Nursing, Physiotherapy, </w:t>
      </w:r>
      <w:proofErr w:type="spellStart"/>
      <w:r>
        <w:rPr>
          <w:rFonts w:ascii="Times New Roman" w:eastAsia="Times New Roman" w:hAnsi="Times New Roman" w:cs="Times New Roman"/>
          <w:color w:val="000000"/>
          <w:sz w:val="26"/>
          <w:szCs w:val="26"/>
        </w:rPr>
        <w:t>Anaesthesia</w:t>
      </w:r>
      <w:proofErr w:type="spellEnd"/>
      <w:r>
        <w:rPr>
          <w:rFonts w:ascii="Times New Roman" w:eastAsia="Times New Roman" w:hAnsi="Times New Roman" w:cs="Times New Roman"/>
          <w:color w:val="000000"/>
          <w:sz w:val="26"/>
          <w:szCs w:val="26"/>
        </w:rPr>
        <w:t xml:space="preserve"> or Fashion courses.</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Applicants are advised to go through application guidelines first that can be downloaded from </w:t>
      </w:r>
      <w:hyperlink r:id="rId8">
        <w:r>
          <w:rPr>
            <w:rFonts w:ascii="Times New Roman" w:eastAsia="Times New Roman" w:hAnsi="Times New Roman" w:cs="Times New Roman"/>
            <w:b/>
            <w:color w:val="0000FF"/>
            <w:sz w:val="26"/>
            <w:szCs w:val="26"/>
            <w:u w:val="single"/>
          </w:rPr>
          <w:t>http://a2ascholarships.iccr.gov.in/assets/site/docs/Policy%20 Guidelines.pdf</w:t>
        </w:r>
      </w:hyperlink>
      <w:r>
        <w:rPr>
          <w:rFonts w:ascii="Times New Roman" w:eastAsia="Times New Roman" w:hAnsi="Times New Roman" w:cs="Times New Roman"/>
          <w:b/>
          <w:color w:val="0000FF"/>
          <w:sz w:val="26"/>
          <w:szCs w:val="26"/>
          <w:u w:val="single"/>
        </w:rPr>
        <w:t>.</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  Requirements</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numPr>
          <w:ilvl w:val="0"/>
          <w:numId w:val="3"/>
        </w:numPr>
        <w:pBdr>
          <w:top w:val="nil"/>
          <w:left w:val="nil"/>
          <w:bottom w:val="nil"/>
          <w:right w:val="nil"/>
          <w:between w:val="nil"/>
        </w:pBdr>
        <w:spacing w:after="0" w:line="240" w:lineRule="auto"/>
        <w:jc w:val="both"/>
        <w:rPr>
          <w:color w:val="000000"/>
          <w:sz w:val="26"/>
          <w:szCs w:val="26"/>
        </w:rPr>
      </w:pPr>
      <w:r>
        <w:rPr>
          <w:rFonts w:ascii="Times New Roman" w:eastAsia="Times New Roman" w:hAnsi="Times New Roman" w:cs="Times New Roman"/>
          <w:color w:val="000000"/>
          <w:sz w:val="26"/>
          <w:szCs w:val="26"/>
        </w:rPr>
        <w:t>A 500-word Essay in English.  This is to ascertain English proficiency.</w:t>
      </w:r>
    </w:p>
    <w:p w:rsidR="00164436" w:rsidRDefault="0016443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p>
    <w:p w:rsidR="00164436" w:rsidRDefault="00772A48">
      <w:pPr>
        <w:numPr>
          <w:ilvl w:val="0"/>
          <w:numId w:val="3"/>
        </w:numPr>
        <w:pBdr>
          <w:top w:val="nil"/>
          <w:left w:val="nil"/>
          <w:bottom w:val="nil"/>
          <w:right w:val="nil"/>
          <w:between w:val="nil"/>
        </w:pBdr>
        <w:spacing w:after="0" w:line="240" w:lineRule="auto"/>
        <w:jc w:val="both"/>
        <w:rPr>
          <w:color w:val="000000"/>
          <w:sz w:val="26"/>
          <w:szCs w:val="26"/>
        </w:rPr>
      </w:pPr>
      <w:r>
        <w:rPr>
          <w:rFonts w:ascii="Times New Roman" w:eastAsia="Times New Roman" w:hAnsi="Times New Roman" w:cs="Times New Roman"/>
          <w:color w:val="000000"/>
          <w:sz w:val="26"/>
          <w:szCs w:val="26"/>
        </w:rPr>
        <w:t>Candidates applying for B.Sc., BE/</w:t>
      </w:r>
      <w:proofErr w:type="spellStart"/>
      <w:r>
        <w:rPr>
          <w:rFonts w:ascii="Times New Roman" w:eastAsia="Times New Roman" w:hAnsi="Times New Roman" w:cs="Times New Roman"/>
          <w:color w:val="000000"/>
          <w:sz w:val="26"/>
          <w:szCs w:val="26"/>
        </w:rPr>
        <w:t>B.Tech</w:t>
      </w:r>
      <w:proofErr w:type="spellEnd"/>
      <w:r>
        <w:rPr>
          <w:rFonts w:ascii="Times New Roman" w:eastAsia="Times New Roman" w:hAnsi="Times New Roman" w:cs="Times New Roman"/>
          <w:color w:val="000000"/>
          <w:sz w:val="26"/>
          <w:szCs w:val="26"/>
        </w:rPr>
        <w:t xml:space="preserve"> courses should have taken Physics, Chemistry &amp; Mathematics (PCM) in their Secondary examinations, which is mandatory for Engineering courses.</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  Responsibilities by Students </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numPr>
          <w:ilvl w:val="0"/>
          <w:numId w:val="4"/>
        </w:numPr>
        <w:pBdr>
          <w:top w:val="nil"/>
          <w:left w:val="nil"/>
          <w:bottom w:val="nil"/>
          <w:right w:val="nil"/>
          <w:between w:val="nil"/>
        </w:pBdr>
        <w:spacing w:after="0" w:line="240" w:lineRule="auto"/>
        <w:jc w:val="both"/>
        <w:rPr>
          <w:color w:val="000000"/>
          <w:sz w:val="26"/>
          <w:szCs w:val="26"/>
        </w:rPr>
      </w:pPr>
      <w:r>
        <w:rPr>
          <w:rFonts w:ascii="Times New Roman" w:eastAsia="Times New Roman" w:hAnsi="Times New Roman" w:cs="Times New Roman"/>
          <w:color w:val="000000"/>
          <w:sz w:val="26"/>
          <w:szCs w:val="26"/>
        </w:rPr>
        <w:t>For Scholars pursuing Science courses, the expenditure on laboratory, chemicals and other related incidental charges will have to be borne by the students.</w:t>
      </w:r>
    </w:p>
    <w:p w:rsidR="00164436" w:rsidRDefault="0016443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6"/>
          <w:szCs w:val="26"/>
        </w:rPr>
      </w:pPr>
    </w:p>
    <w:p w:rsidR="00164436" w:rsidRDefault="00772A48">
      <w:pPr>
        <w:numPr>
          <w:ilvl w:val="0"/>
          <w:numId w:val="4"/>
        </w:numPr>
        <w:pBdr>
          <w:top w:val="nil"/>
          <w:left w:val="nil"/>
          <w:bottom w:val="nil"/>
          <w:right w:val="nil"/>
          <w:between w:val="nil"/>
        </w:pBdr>
        <w:spacing w:after="0" w:line="240" w:lineRule="auto"/>
        <w:jc w:val="both"/>
        <w:rPr>
          <w:color w:val="000000"/>
          <w:sz w:val="26"/>
          <w:szCs w:val="26"/>
        </w:rPr>
      </w:pPr>
      <w:r>
        <w:rPr>
          <w:rFonts w:ascii="Times New Roman" w:eastAsia="Times New Roman" w:hAnsi="Times New Roman" w:cs="Times New Roman"/>
          <w:color w:val="000000"/>
          <w:sz w:val="26"/>
          <w:szCs w:val="26"/>
        </w:rPr>
        <w:t>Students should procure an annual personal medical insurance of not less than USD 6800 per annum from any of the two insurance companies indicated on A2A portal.</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d)  Benefits from the Scholarship</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numPr>
          <w:ilvl w:val="0"/>
          <w:numId w:val="5"/>
        </w:numPr>
        <w:pBdr>
          <w:top w:val="nil"/>
          <w:left w:val="nil"/>
          <w:bottom w:val="nil"/>
          <w:right w:val="nil"/>
          <w:between w:val="nil"/>
        </w:pBdr>
        <w:spacing w:after="0" w:line="240" w:lineRule="auto"/>
        <w:jc w:val="both"/>
        <w:rPr>
          <w:color w:val="000000"/>
          <w:sz w:val="26"/>
          <w:szCs w:val="26"/>
        </w:rPr>
      </w:pPr>
      <w:r>
        <w:rPr>
          <w:rFonts w:ascii="Times New Roman" w:eastAsia="Times New Roman" w:hAnsi="Times New Roman" w:cs="Times New Roman"/>
          <w:color w:val="000000"/>
          <w:sz w:val="26"/>
          <w:szCs w:val="26"/>
        </w:rPr>
        <w:t>One (1) return economy class air-fares to the airport nearest to University/Institute.  No ticket will be provided for students visiting their country during vacation.</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Interested candidates should submit their applications online at </w:t>
      </w:r>
      <w:hyperlink r:id="rId9">
        <w:r>
          <w:rPr>
            <w:rFonts w:ascii="Times New Roman" w:eastAsia="Times New Roman" w:hAnsi="Times New Roman" w:cs="Times New Roman"/>
            <w:b/>
            <w:color w:val="0000FF"/>
            <w:sz w:val="26"/>
            <w:szCs w:val="26"/>
            <w:u w:val="single"/>
          </w:rPr>
          <w:t>www.a2ascholarships.iccr.gov.in</w:t>
        </w:r>
      </w:hyperlink>
      <w:r>
        <w:rPr>
          <w:rFonts w:ascii="Times New Roman" w:eastAsia="Times New Roman" w:hAnsi="Times New Roman" w:cs="Times New Roman"/>
          <w:b/>
          <w:color w:val="000000"/>
          <w:sz w:val="26"/>
          <w:szCs w:val="26"/>
        </w:rPr>
        <w:t xml:space="preserve"> latest by 30</w:t>
      </w:r>
      <w:r>
        <w:rPr>
          <w:rFonts w:ascii="Times New Roman" w:eastAsia="Times New Roman" w:hAnsi="Times New Roman" w:cs="Times New Roman"/>
          <w:b/>
          <w:color w:val="000000"/>
          <w:sz w:val="26"/>
          <w:szCs w:val="26"/>
          <w:vertAlign w:val="superscript"/>
        </w:rPr>
        <w:t>th</w:t>
      </w:r>
      <w:r>
        <w:rPr>
          <w:rFonts w:ascii="Times New Roman" w:eastAsia="Times New Roman" w:hAnsi="Times New Roman" w:cs="Times New Roman"/>
          <w:b/>
          <w:color w:val="000000"/>
          <w:sz w:val="26"/>
          <w:szCs w:val="26"/>
        </w:rPr>
        <w:t xml:space="preserve"> April, 2021.</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772A4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For more information or inquiry, contact Mr. Bharat B. Suri, Attaché (Education) on email </w:t>
      </w:r>
      <w:hyperlink r:id="rId10">
        <w:r>
          <w:rPr>
            <w:rFonts w:ascii="Times New Roman" w:eastAsia="Times New Roman" w:hAnsi="Times New Roman" w:cs="Times New Roman"/>
            <w:color w:val="0000FF"/>
            <w:sz w:val="26"/>
            <w:szCs w:val="26"/>
            <w:u w:val="single"/>
          </w:rPr>
          <w:t>com.nairobi@mea.gov.in</w:t>
        </w:r>
      </w:hyperlink>
      <w:r>
        <w:rPr>
          <w:rFonts w:ascii="Times New Roman" w:eastAsia="Times New Roman" w:hAnsi="Times New Roman" w:cs="Times New Roman"/>
          <w:color w:val="000000"/>
          <w:sz w:val="26"/>
          <w:szCs w:val="26"/>
        </w:rPr>
        <w:t>; Telephone +254731900046.</w:t>
      </w:r>
    </w:p>
    <w:p w:rsidR="00164436" w:rsidRDefault="00772A48">
      <w:pPr>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p w:rsidR="00164436" w:rsidRDefault="00164436">
      <w:p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p>
    <w:sectPr w:rsidR="00164436">
      <w:pgSz w:w="12240" w:h="15840"/>
      <w:pgMar w:top="142" w:right="1134" w:bottom="284" w:left="15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Gadug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560F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526F8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8A51BB"/>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0DF5AA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4F47BF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436"/>
    <w:rsid w:val="00164436"/>
    <w:rsid w:val="00772A48"/>
    <w:rsid w:val="008D60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D035D-3E58-B346-9612-24FF18FA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2ascholarships.iccr.gov.in/assets/site/docs/Policy%20%20Guidelines.pdf" TargetMode="External"/><Relationship Id="rId3" Type="http://schemas.openxmlformats.org/officeDocument/2006/relationships/settings" Target="settings.xml"/><Relationship Id="rId7" Type="http://schemas.openxmlformats.org/officeDocument/2006/relationships/hyperlink" Target="http://www.ugc.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2ascholarships.iccr.gov.in"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om.nairobi@mea.gov.in" TargetMode="External"/><Relationship Id="rId4" Type="http://schemas.openxmlformats.org/officeDocument/2006/relationships/webSettings" Target="webSettings.xml"/><Relationship Id="rId9" Type="http://schemas.openxmlformats.org/officeDocument/2006/relationships/hyperlink" Target="http://www.a2ascholarships.iccr.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georgez</dc:creator>
  <cp:lastModifiedBy>HP</cp:lastModifiedBy>
  <cp:revision>2</cp:revision>
  <dcterms:created xsi:type="dcterms:W3CDTF">2021-04-27T09:40:00Z</dcterms:created>
  <dcterms:modified xsi:type="dcterms:W3CDTF">2021-04-27T09:40:00Z</dcterms:modified>
</cp:coreProperties>
</file>